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6CED7A05" w:rsidR="00080DE1" w:rsidRPr="00B257E0" w:rsidRDefault="56E7E0F6" w:rsidP="4288B17D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 w:rsidRPr="00B257E0">
        <w:rPr>
          <w:rFonts w:ascii="Calibri" w:eastAsia="Calibri" w:hAnsi="Calibri" w:cs="Calibri"/>
          <w:b/>
          <w:bCs/>
          <w:sz w:val="28"/>
          <w:szCs w:val="28"/>
        </w:rPr>
        <w:t>SteinCares</w:t>
      </w:r>
      <w:proofErr w:type="spellEnd"/>
      <w:r w:rsidRPr="00B257E0">
        <w:rPr>
          <w:rFonts w:ascii="Calibri" w:eastAsia="Calibri" w:hAnsi="Calibri" w:cs="Calibri"/>
          <w:b/>
          <w:bCs/>
          <w:sz w:val="28"/>
          <w:szCs w:val="28"/>
        </w:rPr>
        <w:t xml:space="preserve"> y </w:t>
      </w:r>
      <w:proofErr w:type="spellStart"/>
      <w:r w:rsidRPr="00B257E0">
        <w:rPr>
          <w:rFonts w:ascii="Calibri" w:eastAsia="Calibri" w:hAnsi="Calibri" w:cs="Calibri"/>
          <w:b/>
          <w:bCs/>
          <w:sz w:val="28"/>
          <w:szCs w:val="28"/>
        </w:rPr>
        <w:t>Pharmacosmos</w:t>
      </w:r>
      <w:proofErr w:type="spellEnd"/>
      <w:r w:rsidRPr="00B257E0">
        <w:rPr>
          <w:rFonts w:ascii="Calibri" w:eastAsia="Calibri" w:hAnsi="Calibri" w:cs="Calibri"/>
          <w:b/>
          <w:bCs/>
          <w:sz w:val="28"/>
          <w:szCs w:val="28"/>
        </w:rPr>
        <w:t xml:space="preserve"> lanzan </w:t>
      </w:r>
      <w:proofErr w:type="spellStart"/>
      <w:r w:rsidRPr="00B257E0">
        <w:rPr>
          <w:rFonts w:ascii="Calibri" w:eastAsia="Calibri" w:hAnsi="Calibri" w:cs="Calibri"/>
          <w:b/>
          <w:bCs/>
          <w:sz w:val="28"/>
          <w:szCs w:val="28"/>
        </w:rPr>
        <w:t>Monofer</w:t>
      </w:r>
      <w:proofErr w:type="spellEnd"/>
      <w:r w:rsidRPr="00B257E0">
        <w:rPr>
          <w:rFonts w:ascii="Calibri" w:eastAsia="Calibri" w:hAnsi="Calibri" w:cs="Calibri"/>
          <w:b/>
          <w:bCs/>
          <w:sz w:val="28"/>
          <w:szCs w:val="28"/>
        </w:rPr>
        <w:t>® en seis nuevos mercados latinoamericanos para combatir la deficiencia de hierro</w:t>
      </w:r>
    </w:p>
    <w:p w14:paraId="4FB5DDA2" w14:textId="6451871E" w:rsidR="5891687E" w:rsidRPr="00B257E0" w:rsidRDefault="5891687E" w:rsidP="5C736C68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B257E0">
        <w:rPr>
          <w:rFonts w:ascii="Calibri" w:eastAsia="Calibri" w:hAnsi="Calibri" w:cs="Calibri"/>
          <w:sz w:val="22"/>
          <w:szCs w:val="22"/>
        </w:rPr>
        <w:t>Esta alianza estratégica lleva una innovadora terapia de reemplazo de hierro intravenoso a Ecuador, República Dominicana, Guatemala, Chile, Panamá y</w:t>
      </w:r>
      <w:r w:rsidR="00B71487">
        <w:rPr>
          <w:rFonts w:ascii="Calibri" w:eastAsia="Calibri" w:hAnsi="Calibri" w:cs="Calibri"/>
          <w:sz w:val="22"/>
          <w:szCs w:val="22"/>
        </w:rPr>
        <w:t xml:space="preserve">, próximamente, en </w:t>
      </w:r>
      <w:r w:rsidRPr="00B257E0">
        <w:rPr>
          <w:rFonts w:ascii="Calibri" w:eastAsia="Calibri" w:hAnsi="Calibri" w:cs="Calibri"/>
          <w:sz w:val="22"/>
          <w:szCs w:val="22"/>
        </w:rPr>
        <w:t>Costa Rica, ofreciendo una alternativa de tratamiento segura y eficaz para los pacientes</w:t>
      </w:r>
      <w:r w:rsidR="07867392" w:rsidRPr="00B257E0">
        <w:rPr>
          <w:rFonts w:ascii="Calibri" w:eastAsia="Calibri" w:hAnsi="Calibri" w:cs="Calibri"/>
          <w:sz w:val="22"/>
          <w:szCs w:val="22"/>
        </w:rPr>
        <w:t>.</w:t>
      </w:r>
    </w:p>
    <w:p w14:paraId="00E55C5E" w14:textId="1D043819" w:rsidR="5891687E" w:rsidRPr="00B257E0" w:rsidRDefault="5891687E" w:rsidP="4288B17D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B257E0">
        <w:rPr>
          <w:rFonts w:ascii="Calibri" w:eastAsia="Calibri" w:hAnsi="Calibri" w:cs="Calibri"/>
          <w:sz w:val="22"/>
          <w:szCs w:val="22"/>
        </w:rPr>
        <w:t xml:space="preserve">La ampliación de la colaboración representa un importante paso adelante para abordar el problema generalizado de la deficiencia de hierro en la región, y fortalece la posición de </w:t>
      </w:r>
      <w:proofErr w:type="spellStart"/>
      <w:r w:rsidRPr="00B257E0">
        <w:rPr>
          <w:rFonts w:ascii="Calibri" w:eastAsia="Calibri" w:hAnsi="Calibri" w:cs="Calibri"/>
          <w:sz w:val="22"/>
          <w:szCs w:val="22"/>
        </w:rPr>
        <w:t>SteinCares</w:t>
      </w:r>
      <w:proofErr w:type="spellEnd"/>
      <w:r w:rsidRPr="00B257E0">
        <w:rPr>
          <w:rFonts w:ascii="Calibri" w:eastAsia="Calibri" w:hAnsi="Calibri" w:cs="Calibri"/>
          <w:sz w:val="22"/>
          <w:szCs w:val="22"/>
        </w:rPr>
        <w:t xml:space="preserve"> como socio confiable para las empresas internacionales que buscan acceder al mercado latinoamericano.</w:t>
      </w:r>
    </w:p>
    <w:p w14:paraId="6A4BA902" w14:textId="0BD4D5E9" w:rsidR="73D66F6C" w:rsidRPr="00B257E0" w:rsidRDefault="73D66F6C" w:rsidP="5C736C68">
      <w:pPr>
        <w:jc w:val="both"/>
        <w:rPr>
          <w:rFonts w:ascii="Calibri" w:eastAsia="Calibri" w:hAnsi="Calibri" w:cs="Calibri"/>
          <w:sz w:val="22"/>
          <w:szCs w:val="22"/>
        </w:rPr>
      </w:pPr>
      <w:r w:rsidRPr="00B257E0">
        <w:rPr>
          <w:rFonts w:ascii="Calibri" w:eastAsia="Calibri" w:hAnsi="Calibri" w:cs="Calibri"/>
          <w:b/>
          <w:bCs/>
          <w:sz w:val="22"/>
          <w:szCs w:val="22"/>
        </w:rPr>
        <w:t>San José, Costa Rica, mayo de 2025.</w:t>
      </w:r>
      <w:r w:rsidRPr="00B257E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B257E0">
        <w:rPr>
          <w:rFonts w:ascii="Calibri" w:eastAsia="Calibri" w:hAnsi="Calibri" w:cs="Calibri"/>
          <w:sz w:val="22"/>
          <w:szCs w:val="22"/>
        </w:rPr>
        <w:t>SteinCares</w:t>
      </w:r>
      <w:proofErr w:type="spellEnd"/>
      <w:r w:rsidRPr="00B257E0">
        <w:rPr>
          <w:rFonts w:ascii="Calibri" w:eastAsia="Calibri" w:hAnsi="Calibri" w:cs="Calibri"/>
          <w:sz w:val="22"/>
          <w:szCs w:val="22"/>
        </w:rPr>
        <w:t xml:space="preserve">, </w:t>
      </w:r>
      <w:r w:rsidR="5A78BC95" w:rsidRPr="00B257E0">
        <w:rPr>
          <w:rFonts w:ascii="Calibri" w:eastAsiaTheme="minorEastAsia" w:hAnsi="Calibri" w:cs="Calibri"/>
          <w:sz w:val="22"/>
          <w:szCs w:val="22"/>
        </w:rPr>
        <w:t>empresa líder en medicamentos de alta complejidad en Latinoamérica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, y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Pharmacosmos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, </w:t>
      </w:r>
      <w:r w:rsidR="37F7C9B2" w:rsidRPr="00B257E0">
        <w:rPr>
          <w:rFonts w:ascii="Calibri" w:eastAsiaTheme="minorEastAsia" w:hAnsi="Calibri" w:cs="Calibri"/>
          <w:sz w:val="22"/>
          <w:szCs w:val="22"/>
        </w:rPr>
        <w:t>empresa internacional líder especializada en tratamientos con hierro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, han anunciado el lanzamiento de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Monofer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>®, una innov</w:t>
      </w:r>
      <w:r w:rsidRPr="00B257E0">
        <w:rPr>
          <w:rFonts w:ascii="Calibri" w:eastAsia="Calibri" w:hAnsi="Calibri" w:cs="Calibri"/>
          <w:sz w:val="22"/>
          <w:szCs w:val="22"/>
        </w:rPr>
        <w:t xml:space="preserve">adora terapia </w:t>
      </w:r>
      <w:r w:rsidR="39DEC62F" w:rsidRPr="00B257E0">
        <w:rPr>
          <w:rFonts w:ascii="Calibri" w:eastAsia="Calibri" w:hAnsi="Calibri" w:cs="Calibri"/>
          <w:sz w:val="22"/>
          <w:szCs w:val="22"/>
        </w:rPr>
        <w:t xml:space="preserve">intravenosa de reposición de hierro para pacientes </w:t>
      </w:r>
      <w:r w:rsidRPr="00B257E0">
        <w:rPr>
          <w:rFonts w:ascii="Calibri" w:eastAsia="Calibri" w:hAnsi="Calibri" w:cs="Calibri"/>
          <w:sz w:val="22"/>
          <w:szCs w:val="22"/>
        </w:rPr>
        <w:t xml:space="preserve">con deficiencia de este mineral, en seis nuevos mercados: Ecuador, República Dominicana, Guatemala, Chile, Panamá y Costa Rica*. Esta alianza estratégica refuerza el compromiso de </w:t>
      </w:r>
      <w:proofErr w:type="spellStart"/>
      <w:r w:rsidRPr="00B257E0">
        <w:rPr>
          <w:rFonts w:ascii="Calibri" w:eastAsia="Calibri" w:hAnsi="Calibri" w:cs="Calibri"/>
          <w:sz w:val="22"/>
          <w:szCs w:val="22"/>
        </w:rPr>
        <w:t>SteinCares</w:t>
      </w:r>
      <w:proofErr w:type="spellEnd"/>
      <w:r w:rsidRPr="00B257E0">
        <w:rPr>
          <w:rFonts w:ascii="Calibri" w:eastAsia="Calibri" w:hAnsi="Calibri" w:cs="Calibri"/>
          <w:sz w:val="22"/>
          <w:szCs w:val="22"/>
        </w:rPr>
        <w:t xml:space="preserve"> de ofrecer tratamientos asequibles y de alta calidad, así como su </w:t>
      </w:r>
      <w:r w:rsidR="3551F144" w:rsidRPr="00B257E0">
        <w:rPr>
          <w:rFonts w:ascii="Calibri" w:eastAsia="Calibri" w:hAnsi="Calibri" w:cs="Calibri"/>
          <w:sz w:val="22"/>
          <w:szCs w:val="22"/>
        </w:rPr>
        <w:t xml:space="preserve">rol siendo el </w:t>
      </w:r>
      <w:r w:rsidRPr="00B257E0">
        <w:rPr>
          <w:rFonts w:ascii="Calibri" w:eastAsia="Calibri" w:hAnsi="Calibri" w:cs="Calibri"/>
          <w:sz w:val="22"/>
          <w:szCs w:val="22"/>
        </w:rPr>
        <w:t xml:space="preserve">puente entre los </w:t>
      </w:r>
      <w:r w:rsidR="517D3A6A" w:rsidRPr="00B257E0">
        <w:rPr>
          <w:rFonts w:ascii="Calibri" w:eastAsia="Calibri" w:hAnsi="Calibri" w:cs="Calibri"/>
          <w:sz w:val="22"/>
          <w:szCs w:val="22"/>
        </w:rPr>
        <w:t xml:space="preserve">tratamientos </w:t>
      </w:r>
      <w:r w:rsidRPr="00B257E0">
        <w:rPr>
          <w:rFonts w:ascii="Calibri" w:eastAsia="Calibri" w:hAnsi="Calibri" w:cs="Calibri"/>
          <w:sz w:val="22"/>
          <w:szCs w:val="22"/>
        </w:rPr>
        <w:t xml:space="preserve">globales </w:t>
      </w:r>
      <w:r w:rsidR="616F4CA3" w:rsidRPr="00B257E0">
        <w:rPr>
          <w:rFonts w:ascii="Calibri" w:eastAsia="Calibri" w:hAnsi="Calibri" w:cs="Calibri"/>
          <w:sz w:val="22"/>
          <w:szCs w:val="22"/>
        </w:rPr>
        <w:t xml:space="preserve">de </w:t>
      </w:r>
      <w:r w:rsidRPr="00B257E0">
        <w:rPr>
          <w:rFonts w:ascii="Calibri" w:eastAsia="Calibri" w:hAnsi="Calibri" w:cs="Calibri"/>
          <w:sz w:val="22"/>
          <w:szCs w:val="22"/>
        </w:rPr>
        <w:t>a</w:t>
      </w:r>
      <w:r w:rsidR="7922AC42" w:rsidRPr="00B257E0">
        <w:rPr>
          <w:rFonts w:ascii="Calibri" w:eastAsia="Calibri" w:hAnsi="Calibri" w:cs="Calibri"/>
          <w:sz w:val="22"/>
          <w:szCs w:val="22"/>
        </w:rPr>
        <w:t xml:space="preserve">lta complejidad y </w:t>
      </w:r>
      <w:r w:rsidRPr="00B257E0">
        <w:rPr>
          <w:rFonts w:ascii="Calibri" w:eastAsia="Calibri" w:hAnsi="Calibri" w:cs="Calibri"/>
          <w:sz w:val="22"/>
          <w:szCs w:val="22"/>
        </w:rPr>
        <w:t>las necesidades de salud no cubiertas en América Latina</w:t>
      </w:r>
      <w:r w:rsidR="79438249" w:rsidRPr="00B257E0">
        <w:rPr>
          <w:rFonts w:ascii="Calibri" w:eastAsia="Calibri" w:hAnsi="Calibri" w:cs="Calibri"/>
          <w:sz w:val="22"/>
          <w:szCs w:val="22"/>
        </w:rPr>
        <w:t>.</w:t>
      </w:r>
    </w:p>
    <w:p w14:paraId="125FF8CB" w14:textId="1947E321" w:rsidR="7AB1C67D" w:rsidRPr="00B257E0" w:rsidRDefault="7AB1C67D" w:rsidP="4288B17D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Monofer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>® ya está disponible para una población de pacientes más amplia en América Latina</w:t>
      </w:r>
      <w:r w:rsidR="36682AA3" w:rsidRPr="00B257E0">
        <w:rPr>
          <w:rFonts w:ascii="Calibri" w:eastAsiaTheme="minorEastAsia" w:hAnsi="Calibri" w:cs="Calibri"/>
          <w:sz w:val="22"/>
          <w:szCs w:val="22"/>
        </w:rPr>
        <w:t>: aquellos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 con deficiencia de hierro, con o sin anemia, en áreas terapéuticas clave como nefrología, cardiología,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onco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>-hematología, gastroenterología, ginecología y obstetricia, entre otras.</w:t>
      </w:r>
    </w:p>
    <w:p w14:paraId="1240A374" w14:textId="00AEAB89" w:rsidR="5BDF0F40" w:rsidRPr="00B257E0" w:rsidRDefault="5BDF0F40" w:rsidP="4288B17D">
      <w:pPr>
        <w:jc w:val="both"/>
        <w:rPr>
          <w:rFonts w:ascii="Calibri" w:eastAsia="Calibri" w:hAnsi="Calibri" w:cs="Calibri"/>
          <w:sz w:val="22"/>
          <w:szCs w:val="22"/>
        </w:rPr>
      </w:pPr>
      <w:r w:rsidRPr="00B257E0">
        <w:rPr>
          <w:rFonts w:ascii="Calibri" w:eastAsiaTheme="minorEastAsia" w:hAnsi="Calibri" w:cs="Calibri"/>
          <w:sz w:val="22"/>
          <w:szCs w:val="22"/>
        </w:rPr>
        <w:t xml:space="preserve">"Nuestra alianza con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Pharmacosmos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fortalece nuestro </w:t>
      </w:r>
      <w:r w:rsidR="50797544" w:rsidRPr="00B257E0">
        <w:rPr>
          <w:rFonts w:ascii="Calibri" w:eastAsiaTheme="minorEastAsia" w:hAnsi="Calibri" w:cs="Calibri"/>
          <w:sz w:val="22"/>
          <w:szCs w:val="22"/>
        </w:rPr>
        <w:t>ro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l como puente entre terapias globales innovadoras y las necesidades de salud locales. Juntos, estamos estableciendo un nuevo estándar de lo que puede ser una atención accesible y de alto impacto en la región", afirma Sebastián Katz,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Chief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Strategy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Officer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de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SteinCares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>.</w:t>
      </w:r>
    </w:p>
    <w:p w14:paraId="7AB75FEB" w14:textId="253B9E8E" w:rsidR="027743BB" w:rsidRPr="00B257E0" w:rsidRDefault="027743BB" w:rsidP="5C736C68">
      <w:pPr>
        <w:shd w:val="clear" w:color="auto" w:fill="FFFFFF" w:themeFill="background1"/>
        <w:spacing w:after="210"/>
        <w:jc w:val="both"/>
        <w:rPr>
          <w:rFonts w:ascii="Calibri" w:eastAsia="Calibri" w:hAnsi="Calibri" w:cs="Calibri"/>
          <w:sz w:val="22"/>
          <w:szCs w:val="22"/>
        </w:rPr>
      </w:pPr>
      <w:r w:rsidRPr="00B257E0">
        <w:rPr>
          <w:rFonts w:ascii="Calibri" w:eastAsiaTheme="minorEastAsia" w:hAnsi="Calibri" w:cs="Calibri"/>
          <w:sz w:val="22"/>
          <w:szCs w:val="22"/>
        </w:rPr>
        <w:t xml:space="preserve">"Vemos a América Latina como una región clave donde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Monofer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® puede marcar una verdadera diferencia", añadió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Claes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C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Strom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,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Chief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Commercial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Officer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de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Pharmacosmos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. "La </w:t>
      </w:r>
      <w:r w:rsidR="000C732A" w:rsidRPr="00B257E0">
        <w:rPr>
          <w:rFonts w:ascii="Calibri" w:eastAsiaTheme="minorEastAsia" w:hAnsi="Calibri" w:cs="Calibri"/>
          <w:sz w:val="22"/>
          <w:szCs w:val="22"/>
        </w:rPr>
        <w:t>alianza estratégica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 con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SteinCares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nos permite acelerar ese impacto, aprovechando su sólida presencia local y su trayectoria en el sector salud para llevar una solución </w:t>
      </w:r>
      <w:r w:rsidR="72382E0C" w:rsidRPr="00B257E0">
        <w:rPr>
          <w:rFonts w:ascii="Calibri" w:eastAsiaTheme="minorEastAsia" w:hAnsi="Calibri" w:cs="Calibri"/>
          <w:sz w:val="22"/>
          <w:szCs w:val="22"/>
        </w:rPr>
        <w:t xml:space="preserve">probada 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a más pacientes, más rápido. </w:t>
      </w:r>
      <w:r w:rsidR="3C4A6D50" w:rsidRPr="00B257E0">
        <w:rPr>
          <w:rFonts w:ascii="Calibri" w:eastAsiaTheme="minorEastAsia" w:hAnsi="Calibri" w:cs="Calibri"/>
          <w:sz w:val="22"/>
          <w:szCs w:val="22"/>
        </w:rPr>
        <w:t>Nuestro enfoque va más allá de la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 expansión del mercado; queremos hacer posible una atención médica innovadora y </w:t>
      </w:r>
      <w:r w:rsidR="413EEF7D" w:rsidRPr="00B257E0">
        <w:rPr>
          <w:rFonts w:ascii="Calibri" w:eastAsiaTheme="minorEastAsia" w:hAnsi="Calibri" w:cs="Calibri"/>
          <w:sz w:val="22"/>
          <w:szCs w:val="22"/>
        </w:rPr>
        <w:t>renta</w:t>
      </w:r>
      <w:r w:rsidRPr="00B257E0">
        <w:rPr>
          <w:rFonts w:ascii="Calibri" w:eastAsiaTheme="minorEastAsia" w:hAnsi="Calibri" w:cs="Calibri"/>
          <w:sz w:val="22"/>
          <w:szCs w:val="22"/>
        </w:rPr>
        <w:t>ble".</w:t>
      </w:r>
    </w:p>
    <w:p w14:paraId="0ADE159B" w14:textId="5C92D63B" w:rsidR="664856CF" w:rsidRPr="00B257E0" w:rsidRDefault="664856CF" w:rsidP="4288B17D">
      <w:pPr>
        <w:shd w:val="clear" w:color="auto" w:fill="FFFFFF" w:themeFill="background1"/>
        <w:spacing w:after="21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Monofer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® ofrece un enfoque único y centrado en el paciente para el tratamiento de la deficiencia de hierro. Su formulación de </w:t>
      </w:r>
      <w:r w:rsidR="322C55CE" w:rsidRPr="00B257E0">
        <w:rPr>
          <w:rFonts w:ascii="Calibri" w:eastAsiaTheme="minorEastAsia" w:hAnsi="Calibri" w:cs="Calibri"/>
          <w:sz w:val="22"/>
          <w:szCs w:val="22"/>
        </w:rPr>
        <w:t xml:space="preserve">alta </w:t>
      </w:r>
      <w:r w:rsidRPr="00B257E0">
        <w:rPr>
          <w:rFonts w:ascii="Calibri" w:eastAsiaTheme="minorEastAsia" w:hAnsi="Calibri" w:cs="Calibri"/>
          <w:sz w:val="22"/>
          <w:szCs w:val="22"/>
        </w:rPr>
        <w:t>dosis en una sola infusión proporciona un alivio más rápido de los síntomas</w:t>
      </w:r>
      <w:r w:rsidR="26740D81" w:rsidRPr="00B257E0">
        <w:rPr>
          <w:rFonts w:ascii="Calibri" w:eastAsiaTheme="minorEastAsia" w:hAnsi="Calibri" w:cs="Calibri"/>
          <w:sz w:val="22"/>
          <w:szCs w:val="22"/>
        </w:rPr>
        <w:t xml:space="preserve">, </w:t>
      </w:r>
      <w:r w:rsidRPr="00B257E0">
        <w:rPr>
          <w:rFonts w:ascii="Calibri" w:eastAsiaTheme="minorEastAsia" w:hAnsi="Calibri" w:cs="Calibri"/>
          <w:sz w:val="22"/>
          <w:szCs w:val="22"/>
        </w:rPr>
        <w:t xml:space="preserve">con menos efectos secundarios y desafíos logísticos, </w:t>
      </w:r>
      <w:r w:rsidR="3F3E3998" w:rsidRPr="00B257E0">
        <w:rPr>
          <w:rFonts w:ascii="Calibri" w:eastAsiaTheme="minorEastAsia" w:hAnsi="Calibri" w:cs="Calibri"/>
          <w:sz w:val="22"/>
          <w:szCs w:val="22"/>
        </w:rPr>
        <w:t xml:space="preserve">al reducir </w:t>
      </w:r>
      <w:r w:rsidRPr="00B257E0">
        <w:rPr>
          <w:rFonts w:ascii="Calibri" w:eastAsiaTheme="minorEastAsia" w:hAnsi="Calibri" w:cs="Calibri"/>
          <w:sz w:val="22"/>
          <w:szCs w:val="22"/>
        </w:rPr>
        <w:t>el número de infusiones necesarias y mejorando la experiencia general del paciente. Esto también se traduce en ahorros tanto para los sistemas de salud como a través de la reducción de visitas hospitalarias y la carga operativa.</w:t>
      </w:r>
    </w:p>
    <w:p w14:paraId="1323E939" w14:textId="4BE8789F" w:rsidR="777C8CAD" w:rsidRPr="00B257E0" w:rsidRDefault="777C8CAD" w:rsidP="4288B17D">
      <w:pPr>
        <w:shd w:val="clear" w:color="auto" w:fill="FFFFFF" w:themeFill="background1"/>
        <w:spacing w:after="210"/>
        <w:jc w:val="both"/>
        <w:rPr>
          <w:rFonts w:ascii="Calibri" w:eastAsia="Calibri" w:hAnsi="Calibri" w:cs="Calibri"/>
          <w:sz w:val="22"/>
          <w:szCs w:val="22"/>
        </w:rPr>
      </w:pPr>
      <w:r w:rsidRPr="00B257E0">
        <w:rPr>
          <w:rFonts w:ascii="Calibri" w:eastAsiaTheme="minorEastAsia" w:hAnsi="Calibri" w:cs="Calibri"/>
          <w:sz w:val="22"/>
          <w:szCs w:val="22"/>
        </w:rPr>
        <w:t xml:space="preserve">Para garantizar un lanzamiento exitoso, </w:t>
      </w:r>
      <w:proofErr w:type="spellStart"/>
      <w:r w:rsidRPr="00B257E0">
        <w:rPr>
          <w:rFonts w:ascii="Calibri" w:eastAsiaTheme="minorEastAsia" w:hAnsi="Calibri" w:cs="Calibri"/>
          <w:sz w:val="22"/>
          <w:szCs w:val="22"/>
        </w:rPr>
        <w:t>SteinCares</w:t>
      </w:r>
      <w:proofErr w:type="spellEnd"/>
      <w:r w:rsidRPr="00B257E0">
        <w:rPr>
          <w:rFonts w:ascii="Calibri" w:eastAsiaTheme="minorEastAsia" w:hAnsi="Calibri" w:cs="Calibri"/>
          <w:sz w:val="22"/>
          <w:szCs w:val="22"/>
        </w:rPr>
        <w:t xml:space="preserve"> implementó una estrategia integral centrada en la educación médica continua, capacitando a profesionales de la salud y personal de enfermería con </w:t>
      </w:r>
      <w:r w:rsidRPr="00B257E0">
        <w:rPr>
          <w:rFonts w:ascii="Calibri" w:eastAsia="Calibri" w:hAnsi="Calibri" w:cs="Calibri"/>
          <w:sz w:val="22"/>
          <w:szCs w:val="22"/>
        </w:rPr>
        <w:t>las herramientas necesarias para abordar la deficiencia de hierro de manera más eficaz.</w:t>
      </w:r>
    </w:p>
    <w:p w14:paraId="78FFFF57" w14:textId="0E1B4640" w:rsidR="0978D146" w:rsidRPr="00B257E0" w:rsidRDefault="0978D146" w:rsidP="4288B17D">
      <w:pPr>
        <w:shd w:val="clear" w:color="auto" w:fill="FFFFFF" w:themeFill="background1"/>
        <w:spacing w:after="210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r w:rsidRPr="00B257E0">
        <w:rPr>
          <w:rFonts w:ascii="Calibri" w:eastAsia="Calibri" w:hAnsi="Calibri" w:cs="Calibri"/>
          <w:b/>
          <w:bCs/>
          <w:sz w:val="21"/>
          <w:szCs w:val="21"/>
        </w:rPr>
        <w:t xml:space="preserve">Acerca de </w:t>
      </w:r>
      <w:proofErr w:type="spellStart"/>
      <w:r w:rsidRPr="00B257E0">
        <w:rPr>
          <w:rFonts w:ascii="Calibri" w:eastAsia="Calibri" w:hAnsi="Calibri" w:cs="Calibri"/>
          <w:b/>
          <w:bCs/>
          <w:sz w:val="21"/>
          <w:szCs w:val="21"/>
        </w:rPr>
        <w:t>SteinCares</w:t>
      </w:r>
      <w:proofErr w:type="spellEnd"/>
      <w:r w:rsidRPr="00B257E0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</w:p>
    <w:p w14:paraId="7FB3F889" w14:textId="778092ED" w:rsidR="4288B17D" w:rsidRPr="00B257E0" w:rsidRDefault="4288B17D" w:rsidP="4288B17D">
      <w:pPr>
        <w:shd w:val="clear" w:color="auto" w:fill="FFFFFF" w:themeFill="background1"/>
        <w:spacing w:after="0"/>
        <w:jc w:val="both"/>
        <w:rPr>
          <w:rFonts w:ascii="Calibri" w:eastAsia="Open Sans" w:hAnsi="Calibri" w:cs="Calibri"/>
          <w:color w:val="666666"/>
          <w:sz w:val="21"/>
          <w:szCs w:val="21"/>
        </w:rPr>
      </w:pPr>
    </w:p>
    <w:p w14:paraId="7F8E5216" w14:textId="5CFF804B" w:rsidR="0978D146" w:rsidRPr="00B257E0" w:rsidRDefault="0978D146" w:rsidP="4288B17D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 w:rsidRPr="00B257E0">
        <w:rPr>
          <w:rFonts w:ascii="Calibri" w:eastAsia="Calibri" w:hAnsi="Calibri" w:cs="Calibri"/>
          <w:sz w:val="21"/>
          <w:szCs w:val="21"/>
        </w:rPr>
        <w:t>SteinCares</w:t>
      </w:r>
      <w:proofErr w:type="spellEnd"/>
      <w:r w:rsidRPr="00B257E0">
        <w:rPr>
          <w:rFonts w:ascii="Calibri" w:eastAsia="Calibri" w:hAnsi="Calibri" w:cs="Calibri"/>
          <w:sz w:val="21"/>
          <w:szCs w:val="21"/>
        </w:rPr>
        <w:t xml:space="preserve"> es líder en la comercialización y distribución de medicamentos de alta complejidad en América Latina, incluidos productos farmacéuticos innovadores, biosimilares, hemoderivados y genéricos complejos. Con más de 40 años de experiencia en el cuidado de la salud y presencia en más de 30 países en América Latina y el Caribe, </w:t>
      </w:r>
      <w:proofErr w:type="spellStart"/>
      <w:r w:rsidRPr="00B257E0">
        <w:rPr>
          <w:rFonts w:ascii="Calibri" w:eastAsia="Calibri" w:hAnsi="Calibri" w:cs="Calibri"/>
          <w:sz w:val="21"/>
          <w:szCs w:val="21"/>
        </w:rPr>
        <w:t>SteinCares</w:t>
      </w:r>
      <w:proofErr w:type="spellEnd"/>
      <w:r w:rsidRPr="00B257E0">
        <w:rPr>
          <w:rFonts w:ascii="Calibri" w:eastAsia="Calibri" w:hAnsi="Calibri" w:cs="Calibri"/>
          <w:sz w:val="21"/>
          <w:szCs w:val="21"/>
        </w:rPr>
        <w:t xml:space="preserve"> actúa como puente entre las empresas farmacéuticas más innovadoras del mundo y los sistemas de salud en la región. La compañía está profundamente comprometida con crear oportunidades en salud que impacten positivamente la vida de los pacientes y sus familias en América Latina, ya que tiene la visión de ampliar el acceso a medicamentos de alta complejidad, seguros e innovadores. </w:t>
      </w:r>
    </w:p>
    <w:p w14:paraId="1859C5DB" w14:textId="1A3F6B26" w:rsidR="4288B17D" w:rsidRPr="00B257E0" w:rsidRDefault="4288B17D" w:rsidP="4288B17D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1"/>
          <w:szCs w:val="21"/>
        </w:rPr>
      </w:pPr>
    </w:p>
    <w:p w14:paraId="12058256" w14:textId="3898C9F6" w:rsidR="0978D146" w:rsidRPr="00B257E0" w:rsidRDefault="0978D146" w:rsidP="4288B17D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1"/>
          <w:szCs w:val="21"/>
        </w:rPr>
      </w:pPr>
      <w:r w:rsidRPr="00B257E0">
        <w:rPr>
          <w:rFonts w:ascii="Calibri" w:eastAsia="Calibri" w:hAnsi="Calibri" w:cs="Calibri"/>
          <w:sz w:val="21"/>
          <w:szCs w:val="21"/>
        </w:rPr>
        <w:t xml:space="preserve">Para más información, visite </w:t>
      </w:r>
      <w:hyperlink r:id="rId7">
        <w:r w:rsidRPr="00B257E0">
          <w:rPr>
            <w:rFonts w:ascii="Calibri" w:eastAsia="Calibri" w:hAnsi="Calibri" w:cs="Calibri"/>
            <w:sz w:val="21"/>
            <w:szCs w:val="21"/>
          </w:rPr>
          <w:t>www.steincares.com</w:t>
        </w:r>
      </w:hyperlink>
      <w:r w:rsidRPr="00B257E0">
        <w:rPr>
          <w:rFonts w:ascii="Calibri" w:eastAsia="Calibri" w:hAnsi="Calibri" w:cs="Calibri"/>
          <w:sz w:val="21"/>
          <w:szCs w:val="21"/>
        </w:rPr>
        <w:t xml:space="preserve"> y siga a </w:t>
      </w:r>
      <w:proofErr w:type="spellStart"/>
      <w:r w:rsidRPr="00B257E0">
        <w:rPr>
          <w:rFonts w:ascii="Calibri" w:eastAsia="Calibri" w:hAnsi="Calibri" w:cs="Calibri"/>
          <w:sz w:val="21"/>
          <w:szCs w:val="21"/>
        </w:rPr>
        <w:t>SteinCares</w:t>
      </w:r>
      <w:proofErr w:type="spellEnd"/>
      <w:r w:rsidRPr="00B257E0">
        <w:rPr>
          <w:rFonts w:ascii="Calibri" w:eastAsia="Calibri" w:hAnsi="Calibri" w:cs="Calibri"/>
          <w:sz w:val="21"/>
          <w:szCs w:val="21"/>
        </w:rPr>
        <w:t xml:space="preserve"> en </w:t>
      </w:r>
      <w:hyperlink r:id="rId8">
        <w:r w:rsidRPr="00B257E0">
          <w:rPr>
            <w:rFonts w:ascii="Calibri" w:eastAsia="Calibri" w:hAnsi="Calibri" w:cs="Calibri"/>
            <w:sz w:val="21"/>
            <w:szCs w:val="21"/>
          </w:rPr>
          <w:t>LinkedIn</w:t>
        </w:r>
      </w:hyperlink>
      <w:r w:rsidRPr="00B257E0">
        <w:rPr>
          <w:rFonts w:ascii="Calibri" w:eastAsia="Calibri" w:hAnsi="Calibri" w:cs="Calibri"/>
          <w:sz w:val="21"/>
          <w:szCs w:val="21"/>
        </w:rPr>
        <w:t>.</w:t>
      </w:r>
    </w:p>
    <w:p w14:paraId="12A12B5E" w14:textId="03930F85" w:rsidR="4288B17D" w:rsidRPr="00B257E0" w:rsidRDefault="4288B17D" w:rsidP="4288B17D">
      <w:pPr>
        <w:shd w:val="clear" w:color="auto" w:fill="FFFFFF" w:themeFill="background1"/>
        <w:spacing w:after="210"/>
        <w:jc w:val="both"/>
        <w:rPr>
          <w:rFonts w:ascii="Calibri" w:eastAsia="Calibri" w:hAnsi="Calibri" w:cs="Calibri"/>
          <w:sz w:val="22"/>
          <w:szCs w:val="22"/>
        </w:rPr>
      </w:pPr>
    </w:p>
    <w:p w14:paraId="299DF395" w14:textId="6FD01ECD" w:rsidR="4E38BC1B" w:rsidRPr="00B257E0" w:rsidRDefault="4E38BC1B" w:rsidP="4288B17D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1"/>
          <w:szCs w:val="21"/>
        </w:rPr>
      </w:pPr>
      <w:r w:rsidRPr="00B257E0">
        <w:rPr>
          <w:rFonts w:ascii="Calibri" w:eastAsia="Calibri" w:hAnsi="Calibri" w:cs="Calibri"/>
          <w:b/>
          <w:bCs/>
          <w:sz w:val="21"/>
          <w:szCs w:val="21"/>
        </w:rPr>
        <w:t>Acerca de</w:t>
      </w:r>
      <w:r w:rsidR="3358FADC" w:rsidRPr="00B257E0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proofErr w:type="spellStart"/>
      <w:r w:rsidRPr="00B257E0">
        <w:rPr>
          <w:rFonts w:ascii="Calibri" w:eastAsia="Calibri" w:hAnsi="Calibri" w:cs="Calibri"/>
          <w:b/>
          <w:bCs/>
          <w:sz w:val="21"/>
          <w:szCs w:val="21"/>
        </w:rPr>
        <w:t>Pharmacosmos</w:t>
      </w:r>
      <w:proofErr w:type="spellEnd"/>
      <w:r w:rsidRPr="00B257E0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Pr="00B257E0">
        <w:rPr>
          <w:rFonts w:ascii="Calibri" w:eastAsia="Calibri" w:hAnsi="Calibri" w:cs="Calibri"/>
          <w:sz w:val="21"/>
          <w:szCs w:val="21"/>
        </w:rPr>
        <w:t xml:space="preserve"> </w:t>
      </w:r>
    </w:p>
    <w:p w14:paraId="6C69D86E" w14:textId="543553DE" w:rsidR="4288B17D" w:rsidRPr="00B257E0" w:rsidRDefault="4288B17D" w:rsidP="4288B17D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1"/>
          <w:szCs w:val="21"/>
        </w:rPr>
      </w:pPr>
    </w:p>
    <w:p w14:paraId="0DE493AD" w14:textId="1709D66C" w:rsidR="4267FF3B" w:rsidRPr="00B257E0" w:rsidRDefault="4267FF3B" w:rsidP="4288B17D">
      <w:pPr>
        <w:shd w:val="clear" w:color="auto" w:fill="FFFFFF" w:themeFill="background1"/>
        <w:spacing w:after="210"/>
        <w:jc w:val="both"/>
        <w:rPr>
          <w:rFonts w:ascii="Calibri" w:hAnsi="Calibri" w:cs="Calibri"/>
        </w:rPr>
      </w:pPr>
      <w:proofErr w:type="spellStart"/>
      <w:r w:rsidRPr="00B257E0">
        <w:rPr>
          <w:rFonts w:ascii="Calibri" w:eastAsia="Calibri" w:hAnsi="Calibri" w:cs="Calibri"/>
          <w:sz w:val="21"/>
          <w:szCs w:val="21"/>
        </w:rPr>
        <w:t>Pharmacosmos</w:t>
      </w:r>
      <w:proofErr w:type="spellEnd"/>
      <w:r w:rsidRPr="00B257E0">
        <w:rPr>
          <w:rFonts w:ascii="Calibri" w:eastAsia="Calibri" w:hAnsi="Calibri" w:cs="Calibri"/>
          <w:sz w:val="21"/>
          <w:szCs w:val="21"/>
        </w:rPr>
        <w:t xml:space="preserve"> es una empresa líder con sede en Dinamarca, con una trayectoria de más de 50 años de innovación en tratamientos y soluciones a base de hierro y carbohidratos para uso humano y animal. Cuenta con un programa de I+D enfocado en la investigación y la mejora de la calidad de vida de los pacientes.</w:t>
      </w:r>
    </w:p>
    <w:p w14:paraId="362FA89E" w14:textId="1B0B3495" w:rsidR="4267FF3B" w:rsidRPr="00B257E0" w:rsidRDefault="4267FF3B" w:rsidP="4288B17D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B257E0">
        <w:rPr>
          <w:rFonts w:ascii="Calibri" w:eastAsia="Calibri" w:hAnsi="Calibri" w:cs="Calibri"/>
          <w:sz w:val="21"/>
          <w:szCs w:val="21"/>
        </w:rPr>
        <w:t>La empresa tiene filiales en los países nórdicos, el Reino Unido y los Estados Unidos, y comercializa sus productos en más de 80 países de todo el mundo. Sus instalaciones de fabricación están aprobadas por autoridades reguladoras como la Agencia Danesa de Medicamentos y la FDA de EE. UU., lo que garantiza la alta calidad de sus productos.</w:t>
      </w:r>
    </w:p>
    <w:p w14:paraId="0C6F4446" w14:textId="289BC48A" w:rsidR="4288B17D" w:rsidRPr="00B257E0" w:rsidRDefault="4288B17D" w:rsidP="4288B17D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1"/>
          <w:szCs w:val="21"/>
        </w:rPr>
      </w:pPr>
    </w:p>
    <w:p w14:paraId="48896B4D" w14:textId="41FCC1A3" w:rsidR="4E38BC1B" w:rsidRPr="00B257E0" w:rsidRDefault="4E38BC1B" w:rsidP="4288B17D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</w:rPr>
      </w:pPr>
      <w:r w:rsidRPr="00B257E0">
        <w:rPr>
          <w:rFonts w:ascii="Calibri" w:eastAsia="Calibri" w:hAnsi="Calibri" w:cs="Calibri"/>
          <w:sz w:val="21"/>
          <w:szCs w:val="21"/>
        </w:rPr>
        <w:t xml:space="preserve">Para más información, por favor visite </w:t>
      </w:r>
      <w:hyperlink r:id="rId9">
        <w:r w:rsidRPr="00B257E0">
          <w:rPr>
            <w:rStyle w:val="Hipervnculo"/>
            <w:rFonts w:ascii="Calibri" w:eastAsia="Calibri" w:hAnsi="Calibri" w:cs="Calibri"/>
            <w:color w:val="auto"/>
            <w:sz w:val="21"/>
            <w:szCs w:val="21"/>
          </w:rPr>
          <w:t>https://www.pharmacosmos.com/</w:t>
        </w:r>
      </w:hyperlink>
    </w:p>
    <w:p w14:paraId="67A849EC" w14:textId="6AA8635E" w:rsidR="4288B17D" w:rsidRPr="00B257E0" w:rsidRDefault="4288B17D" w:rsidP="4288B17D">
      <w:pPr>
        <w:shd w:val="clear" w:color="auto" w:fill="FFFFFF" w:themeFill="background1"/>
        <w:spacing w:after="210"/>
        <w:jc w:val="both"/>
        <w:rPr>
          <w:rFonts w:ascii="Calibri" w:eastAsiaTheme="minorEastAsia" w:hAnsi="Calibri" w:cs="Calibri"/>
          <w:sz w:val="22"/>
          <w:szCs w:val="22"/>
        </w:rPr>
      </w:pPr>
    </w:p>
    <w:p w14:paraId="4C42BEFF" w14:textId="5856DB11" w:rsidR="4288B17D" w:rsidRDefault="4288B17D" w:rsidP="4288B17D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4288B17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AC41" w14:textId="77777777" w:rsidR="00C76EED" w:rsidRDefault="00C76EED">
      <w:pPr>
        <w:spacing w:after="0" w:line="240" w:lineRule="auto"/>
      </w:pPr>
      <w:r>
        <w:separator/>
      </w:r>
    </w:p>
  </w:endnote>
  <w:endnote w:type="continuationSeparator" w:id="0">
    <w:p w14:paraId="03DF54DE" w14:textId="77777777" w:rsidR="00C76EED" w:rsidRDefault="00C7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8B17D" w14:paraId="3831BF46" w14:textId="77777777" w:rsidTr="4288B17D">
      <w:trPr>
        <w:trHeight w:val="300"/>
      </w:trPr>
      <w:tc>
        <w:tcPr>
          <w:tcW w:w="3005" w:type="dxa"/>
        </w:tcPr>
        <w:p w14:paraId="082E665E" w14:textId="190AD649" w:rsidR="4288B17D" w:rsidRDefault="4288B17D" w:rsidP="00B71487">
          <w:pPr>
            <w:pStyle w:val="Encabezado"/>
          </w:pPr>
        </w:p>
      </w:tc>
      <w:tc>
        <w:tcPr>
          <w:tcW w:w="3005" w:type="dxa"/>
        </w:tcPr>
        <w:p w14:paraId="3CBBC3C4" w14:textId="2A2E912F" w:rsidR="4288B17D" w:rsidRDefault="4288B17D" w:rsidP="4288B17D">
          <w:pPr>
            <w:pStyle w:val="Encabezado"/>
            <w:jc w:val="center"/>
          </w:pPr>
        </w:p>
      </w:tc>
      <w:tc>
        <w:tcPr>
          <w:tcW w:w="3005" w:type="dxa"/>
        </w:tcPr>
        <w:p w14:paraId="7C35E8B3" w14:textId="6A44E033" w:rsidR="4288B17D" w:rsidRDefault="4288B17D" w:rsidP="4288B17D">
          <w:pPr>
            <w:pStyle w:val="Encabezado"/>
            <w:ind w:right="-115"/>
            <w:jc w:val="right"/>
          </w:pPr>
        </w:p>
      </w:tc>
    </w:tr>
  </w:tbl>
  <w:p w14:paraId="68288230" w14:textId="19BEF1D8" w:rsidR="4288B17D" w:rsidRDefault="4288B17D" w:rsidP="4288B1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BA63" w14:textId="77777777" w:rsidR="00C76EED" w:rsidRDefault="00C76EED">
      <w:pPr>
        <w:spacing w:after="0" w:line="240" w:lineRule="auto"/>
      </w:pPr>
      <w:r>
        <w:separator/>
      </w:r>
    </w:p>
  </w:footnote>
  <w:footnote w:type="continuationSeparator" w:id="0">
    <w:p w14:paraId="5BF752AE" w14:textId="77777777" w:rsidR="00C76EED" w:rsidRDefault="00C7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8B17D" w14:paraId="7651F3C7" w14:textId="77777777" w:rsidTr="4288B17D">
      <w:trPr>
        <w:trHeight w:val="300"/>
      </w:trPr>
      <w:tc>
        <w:tcPr>
          <w:tcW w:w="3005" w:type="dxa"/>
        </w:tcPr>
        <w:p w14:paraId="764BDDF1" w14:textId="57BE7CAF" w:rsidR="4288B17D" w:rsidRDefault="4288B17D" w:rsidP="4288B17D">
          <w:pPr>
            <w:pStyle w:val="Encabezado"/>
            <w:ind w:left="-115"/>
          </w:pPr>
        </w:p>
      </w:tc>
      <w:tc>
        <w:tcPr>
          <w:tcW w:w="3005" w:type="dxa"/>
        </w:tcPr>
        <w:p w14:paraId="3EF1B3F9" w14:textId="2F930E09" w:rsidR="4288B17D" w:rsidRDefault="4288B17D" w:rsidP="4288B17D">
          <w:pPr>
            <w:pStyle w:val="Encabezado"/>
            <w:jc w:val="center"/>
          </w:pPr>
        </w:p>
      </w:tc>
      <w:tc>
        <w:tcPr>
          <w:tcW w:w="3005" w:type="dxa"/>
        </w:tcPr>
        <w:p w14:paraId="23CE3802" w14:textId="586906EE" w:rsidR="4288B17D" w:rsidRDefault="4288B17D" w:rsidP="4288B17D">
          <w:pPr>
            <w:pStyle w:val="Encabezado"/>
            <w:ind w:right="-115"/>
            <w:jc w:val="right"/>
          </w:pPr>
        </w:p>
      </w:tc>
    </w:tr>
  </w:tbl>
  <w:p w14:paraId="39E60C98" w14:textId="0471B421" w:rsidR="4288B17D" w:rsidRDefault="4288B17D" w:rsidP="4288B1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A1B"/>
    <w:multiLevelType w:val="hybridMultilevel"/>
    <w:tmpl w:val="D3BC6B4A"/>
    <w:lvl w:ilvl="0" w:tplc="4CBAF71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28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A1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0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D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45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0E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01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64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3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64D0C5"/>
    <w:rsid w:val="00052A5B"/>
    <w:rsid w:val="00080DE1"/>
    <w:rsid w:val="000C732A"/>
    <w:rsid w:val="009E03B8"/>
    <w:rsid w:val="00B257E0"/>
    <w:rsid w:val="00B71487"/>
    <w:rsid w:val="00C76EED"/>
    <w:rsid w:val="00DA00FD"/>
    <w:rsid w:val="027743BB"/>
    <w:rsid w:val="0456AFDD"/>
    <w:rsid w:val="0670B0DF"/>
    <w:rsid w:val="07867392"/>
    <w:rsid w:val="087C4AC8"/>
    <w:rsid w:val="0978D146"/>
    <w:rsid w:val="0AEC0891"/>
    <w:rsid w:val="0B4B43DC"/>
    <w:rsid w:val="0B767CD0"/>
    <w:rsid w:val="0CDC5FB0"/>
    <w:rsid w:val="0FF086C6"/>
    <w:rsid w:val="14E37169"/>
    <w:rsid w:val="19B9DC23"/>
    <w:rsid w:val="1C5A98AC"/>
    <w:rsid w:val="1CD59992"/>
    <w:rsid w:val="20FD076C"/>
    <w:rsid w:val="25FE5C34"/>
    <w:rsid w:val="26713B85"/>
    <w:rsid w:val="26740D81"/>
    <w:rsid w:val="28A07855"/>
    <w:rsid w:val="2AE567DE"/>
    <w:rsid w:val="2CD3C864"/>
    <w:rsid w:val="322C55CE"/>
    <w:rsid w:val="330B35D3"/>
    <w:rsid w:val="3358FADC"/>
    <w:rsid w:val="3551F144"/>
    <w:rsid w:val="35BFA88B"/>
    <w:rsid w:val="36682AA3"/>
    <w:rsid w:val="36B5AEC4"/>
    <w:rsid w:val="37F7C9B2"/>
    <w:rsid w:val="39DEC62F"/>
    <w:rsid w:val="3A02890F"/>
    <w:rsid w:val="3AB87395"/>
    <w:rsid w:val="3B3A4955"/>
    <w:rsid w:val="3BA58975"/>
    <w:rsid w:val="3C4A6D50"/>
    <w:rsid w:val="3C503324"/>
    <w:rsid w:val="3D76B391"/>
    <w:rsid w:val="3D7DFE87"/>
    <w:rsid w:val="3F3E3998"/>
    <w:rsid w:val="413EEF7D"/>
    <w:rsid w:val="41D98E05"/>
    <w:rsid w:val="4267FF3B"/>
    <w:rsid w:val="4288B17D"/>
    <w:rsid w:val="436A09EC"/>
    <w:rsid w:val="461987DA"/>
    <w:rsid w:val="4C8CB9DE"/>
    <w:rsid w:val="4E38BC1B"/>
    <w:rsid w:val="50797544"/>
    <w:rsid w:val="51234471"/>
    <w:rsid w:val="517D3A6A"/>
    <w:rsid w:val="5362227D"/>
    <w:rsid w:val="544FEB8B"/>
    <w:rsid w:val="5464D0C5"/>
    <w:rsid w:val="55664C02"/>
    <w:rsid w:val="56E7E0F6"/>
    <w:rsid w:val="5891687E"/>
    <w:rsid w:val="5A78BC95"/>
    <w:rsid w:val="5BDF0F40"/>
    <w:rsid w:val="5C736C68"/>
    <w:rsid w:val="5F84D5E4"/>
    <w:rsid w:val="5F95D4A9"/>
    <w:rsid w:val="616F4CA3"/>
    <w:rsid w:val="61D2929B"/>
    <w:rsid w:val="664856CF"/>
    <w:rsid w:val="72382E0C"/>
    <w:rsid w:val="72ADA59F"/>
    <w:rsid w:val="732C3DF1"/>
    <w:rsid w:val="73D66F6C"/>
    <w:rsid w:val="777C8CAD"/>
    <w:rsid w:val="790D33F8"/>
    <w:rsid w:val="7922AC42"/>
    <w:rsid w:val="79438249"/>
    <w:rsid w:val="7AB1C67D"/>
    <w:rsid w:val="7E918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4D0C5"/>
  <w15:chartTrackingRefBased/>
  <w15:docId w15:val="{EBBA2485-683F-4EA1-9095-6795B0C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4288B1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4288B17D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4288B17D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288B17D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7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7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company/steinca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eincare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armacosm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769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Romero</dc:creator>
  <cp:keywords/>
  <dc:description/>
  <cp:lastModifiedBy>Anamaria Romero</cp:lastModifiedBy>
  <cp:revision>5</cp:revision>
  <dcterms:created xsi:type="dcterms:W3CDTF">2025-05-12T19:11:00Z</dcterms:created>
  <dcterms:modified xsi:type="dcterms:W3CDTF">2025-05-19T17:24:00Z</dcterms:modified>
</cp:coreProperties>
</file>